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85B" w:rsidRDefault="0034785B">
      <w:pPr>
        <w:pStyle w:val="ConsPlusNormal0"/>
        <w:jc w:val="both"/>
        <w:outlineLvl w:val="0"/>
      </w:pPr>
    </w:p>
    <w:p w:rsidR="0034785B" w:rsidRDefault="00CD1730">
      <w:pPr>
        <w:pStyle w:val="ConsPlusNormal0"/>
        <w:outlineLvl w:val="0"/>
      </w:pPr>
      <w:r>
        <w:t>Зарегистрировано в Минюсте России 11 декабря 2020 г. N 61391</w:t>
      </w:r>
    </w:p>
    <w:p w:rsidR="0034785B" w:rsidRDefault="0034785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Title0"/>
        <w:jc w:val="center"/>
      </w:pPr>
      <w:r>
        <w:t xml:space="preserve">ФЕДЕРАЛЬНАЯ СЛУЖБА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34785B" w:rsidRDefault="00CD1730">
      <w:pPr>
        <w:pStyle w:val="ConsPlusTitle0"/>
        <w:jc w:val="center"/>
      </w:pPr>
      <w:r>
        <w:t>И АТОМНОМУ НАДЗОРУ</w:t>
      </w:r>
    </w:p>
    <w:p w:rsidR="0034785B" w:rsidRDefault="0034785B">
      <w:pPr>
        <w:pStyle w:val="ConsPlusTitle0"/>
        <w:jc w:val="center"/>
      </w:pPr>
    </w:p>
    <w:p w:rsidR="0034785B" w:rsidRDefault="00CD1730">
      <w:pPr>
        <w:pStyle w:val="ConsPlusTitle0"/>
        <w:jc w:val="center"/>
      </w:pPr>
      <w:r>
        <w:t>ПРИКАЗ</w:t>
      </w:r>
    </w:p>
    <w:p w:rsidR="0034785B" w:rsidRDefault="00CD1730">
      <w:pPr>
        <w:pStyle w:val="ConsPlusTitle0"/>
        <w:jc w:val="center"/>
      </w:pPr>
      <w:r>
        <w:t>от 20 октября 2020 г. N 420</w:t>
      </w:r>
    </w:p>
    <w:p w:rsidR="0034785B" w:rsidRDefault="0034785B">
      <w:pPr>
        <w:pStyle w:val="ConsPlusTitle0"/>
        <w:jc w:val="center"/>
      </w:pPr>
    </w:p>
    <w:p w:rsidR="0034785B" w:rsidRDefault="00CD1730">
      <w:pPr>
        <w:pStyle w:val="ConsPlusTitle0"/>
        <w:jc w:val="center"/>
      </w:pPr>
      <w:r>
        <w:t>ОБ УТВЕРЖДЕНИИ ФЕДЕРАЛЬНЫХ НОРМ И ПРАВИЛ</w:t>
      </w:r>
    </w:p>
    <w:p w:rsidR="0034785B" w:rsidRDefault="00CD1730">
      <w:pPr>
        <w:pStyle w:val="ConsPlusTitle0"/>
        <w:jc w:val="center"/>
      </w:pPr>
      <w:r>
        <w:t>В ОБЛАСТИ ПРОМЫШЛЕН</w:t>
      </w:r>
      <w:r>
        <w:t>НОЙ БЕЗОПАСНОСТИ "ПРАВИЛА ПРОВЕДЕНИЯ</w:t>
      </w:r>
    </w:p>
    <w:p w:rsidR="0034785B" w:rsidRDefault="00CD1730">
      <w:pPr>
        <w:pStyle w:val="ConsPlusTitle0"/>
        <w:jc w:val="center"/>
      </w:pPr>
      <w:r>
        <w:t>ЭКСПЕРТИЗЫ ПРОМЫШЛЕННОЙ БЕЗОПАСНОСТИ"</w:t>
      </w:r>
    </w:p>
    <w:p w:rsidR="0034785B" w:rsidRDefault="0034785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4785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85B" w:rsidRDefault="0034785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85B" w:rsidRDefault="0034785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85B" w:rsidRDefault="00CD173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4785B" w:rsidRDefault="00CD1730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Ростехнадзора от 13.04.2022 </w:t>
            </w:r>
            <w:hyperlink r:id="rId7" w:tooltip="Приказ Ростехнадзора от 13.04.2022 N 12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4785B" w:rsidRDefault="00CD173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20.02.2024 </w:t>
            </w:r>
            <w:hyperlink r:id="rId8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29.01.2025 </w:t>
            </w:r>
            <w:hyperlink r:id="rId9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 xml:space="preserve">, от 04.03.2026 </w:t>
            </w:r>
            <w:hyperlink r:id="rId10" w:tooltip="Приказ Ростехнадзора от 04.03.2026 N 64 &quot;О внесении изменения в приказ Федеральной службы по экологическому, технологическому и атомному надзору от 20 октября 2020 г. N 420 &quot;Об утверждении федеральных норм и правил в области промышленной безопасности &quot;Правила ">
              <w:r>
                <w:rPr>
                  <w:color w:val="0000FF"/>
                </w:rPr>
                <w:t>N 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85B" w:rsidRDefault="0034785B">
            <w:pPr>
              <w:pStyle w:val="ConsPlusNormal0"/>
            </w:pPr>
          </w:p>
        </w:tc>
      </w:tr>
    </w:tbl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 xml:space="preserve">В соответствии со </w:t>
      </w:r>
      <w:hyperlink r:id="rId11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5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 (Собрание законодательства Российской Федерации, 1997, N 30, ст. 3588; 2018, N 31, ст.</w:t>
      </w:r>
      <w:r>
        <w:t xml:space="preserve"> 4860), </w:t>
      </w:r>
      <w:hyperlink r:id="rId12" w:tooltip="Постановление Правительства РФ от 30.07.2004 N 401 (ред. от 14.04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подпунктом 5.2.2.16(1) пункта 5</w:t>
        </w:r>
      </w:hyperlink>
      <w: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 "О Фе</w:t>
      </w:r>
      <w:r>
        <w:t xml:space="preserve">деральной службе по экологическому, технологическому и атомному надзору" (Собрание законодательства Российской Федерации, 2004, N 32, ст. 3348; </w:t>
      </w:r>
      <w:proofErr w:type="gramStart"/>
      <w:r>
        <w:t>2020, N 27, ст. 4248), приказываю:</w:t>
      </w:r>
      <w:proofErr w:type="gramEnd"/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1. Утвердить прилагаемые федеральные </w:t>
      </w:r>
      <w:hyperlink w:anchor="P35" w:tooltip="ФЕДЕРАЛЬНЫЕ НОРМЫ И ПРАВИЛА">
        <w:r>
          <w:rPr>
            <w:color w:val="0000FF"/>
          </w:rPr>
          <w:t>нормы и правила</w:t>
        </w:r>
      </w:hyperlink>
      <w:r>
        <w:t xml:space="preserve"> в области промышленной безопасности "Правила проведения экспертизы промышленной безопасности".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2. Настоящий приказ вступает в силу с 1 января 2021 г. и действует до 1 сентября 2032 г.</w:t>
      </w:r>
    </w:p>
    <w:p w:rsidR="0034785B" w:rsidRDefault="00CD1730">
      <w:pPr>
        <w:pStyle w:val="ConsPlusNormal0"/>
        <w:jc w:val="both"/>
      </w:pPr>
      <w:r>
        <w:t xml:space="preserve">(в ред. </w:t>
      </w:r>
      <w:hyperlink r:id="rId13" w:tooltip="Приказ Ростехнадзора от 04.03.2026 N 64 &quot;О внесении изменения в приказ Федеральной службы по экологическому, технологическому и атомному надзору от 20 октября 2020 г. N 420 &quot;Об утверждении федеральных норм и правил в области промышленной безопасности &quot;Правила ">
        <w:r>
          <w:rPr>
            <w:color w:val="0000FF"/>
          </w:rPr>
          <w:t>Приказа</w:t>
        </w:r>
      </w:hyperlink>
      <w:r>
        <w:t xml:space="preserve"> Ростехнадзора от 04.03.2026 N 64)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jc w:val="right"/>
      </w:pPr>
      <w:r>
        <w:t>Руководитель</w:t>
      </w:r>
    </w:p>
    <w:p w:rsidR="0034785B" w:rsidRDefault="00CD1730">
      <w:pPr>
        <w:pStyle w:val="ConsPlusNormal0"/>
        <w:jc w:val="right"/>
      </w:pPr>
      <w:r>
        <w:t>А.В.АЛЕШИН</w:t>
      </w:r>
    </w:p>
    <w:p w:rsidR="0034785B" w:rsidRDefault="0034785B">
      <w:pPr>
        <w:pStyle w:val="ConsPlusNormal0"/>
        <w:jc w:val="both"/>
      </w:pPr>
    </w:p>
    <w:p w:rsidR="0034785B" w:rsidRDefault="0034785B">
      <w:pPr>
        <w:pStyle w:val="ConsPlusNormal0"/>
        <w:jc w:val="both"/>
      </w:pPr>
    </w:p>
    <w:p w:rsidR="0034785B" w:rsidRDefault="0034785B">
      <w:pPr>
        <w:pStyle w:val="ConsPlusNormal0"/>
        <w:jc w:val="both"/>
      </w:pPr>
    </w:p>
    <w:p w:rsidR="0034785B" w:rsidRDefault="0034785B">
      <w:pPr>
        <w:pStyle w:val="ConsPlusNormal0"/>
        <w:jc w:val="both"/>
      </w:pPr>
    </w:p>
    <w:p w:rsidR="00077777" w:rsidRDefault="00077777">
      <w:pPr>
        <w:pStyle w:val="ConsPlusNormal0"/>
        <w:jc w:val="both"/>
      </w:pPr>
    </w:p>
    <w:p w:rsidR="00077777" w:rsidRDefault="00077777">
      <w:pPr>
        <w:pStyle w:val="ConsPlusNormal0"/>
        <w:jc w:val="both"/>
      </w:pPr>
    </w:p>
    <w:p w:rsidR="00077777" w:rsidRDefault="00077777">
      <w:pPr>
        <w:pStyle w:val="ConsPlusNormal0"/>
        <w:jc w:val="both"/>
      </w:pPr>
    </w:p>
    <w:p w:rsidR="00077777" w:rsidRDefault="00077777">
      <w:pPr>
        <w:pStyle w:val="ConsPlusNormal0"/>
        <w:jc w:val="both"/>
      </w:pPr>
    </w:p>
    <w:p w:rsidR="00077777" w:rsidRDefault="00077777">
      <w:pPr>
        <w:pStyle w:val="ConsPlusNormal0"/>
        <w:jc w:val="both"/>
      </w:pPr>
    </w:p>
    <w:p w:rsidR="00077777" w:rsidRDefault="00077777">
      <w:pPr>
        <w:pStyle w:val="ConsPlusNormal0"/>
        <w:jc w:val="both"/>
      </w:pPr>
    </w:p>
    <w:p w:rsidR="00077777" w:rsidRDefault="00077777">
      <w:pPr>
        <w:pStyle w:val="ConsPlusNormal0"/>
        <w:jc w:val="both"/>
      </w:pPr>
      <w:bookmarkStart w:id="0" w:name="_GoBack"/>
      <w:bookmarkEnd w:id="0"/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jc w:val="right"/>
        <w:outlineLvl w:val="0"/>
      </w:pPr>
      <w:r>
        <w:lastRenderedPageBreak/>
        <w:t>Утверждены</w:t>
      </w:r>
    </w:p>
    <w:p w:rsidR="0034785B" w:rsidRDefault="00CD1730">
      <w:pPr>
        <w:pStyle w:val="ConsPlusNormal0"/>
        <w:jc w:val="right"/>
      </w:pPr>
      <w:r>
        <w:t>приказом Федеральной службы</w:t>
      </w:r>
    </w:p>
    <w:p w:rsidR="0034785B" w:rsidRDefault="00CD1730">
      <w:pPr>
        <w:pStyle w:val="ConsPlusNormal0"/>
        <w:jc w:val="right"/>
      </w:pPr>
      <w:r>
        <w:t>по экологическому,</w:t>
      </w:r>
      <w:r>
        <w:t xml:space="preserve"> технологическому</w:t>
      </w:r>
    </w:p>
    <w:p w:rsidR="0034785B" w:rsidRDefault="00CD1730">
      <w:pPr>
        <w:pStyle w:val="ConsPlusNormal0"/>
        <w:jc w:val="right"/>
      </w:pPr>
      <w:r>
        <w:t>и атомному надзору</w:t>
      </w:r>
    </w:p>
    <w:p w:rsidR="0034785B" w:rsidRDefault="00CD1730">
      <w:pPr>
        <w:pStyle w:val="ConsPlusNormal0"/>
        <w:jc w:val="right"/>
      </w:pPr>
      <w:r>
        <w:t>от 20 октября 2020 г. N 420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Title0"/>
        <w:jc w:val="center"/>
      </w:pPr>
      <w:bookmarkStart w:id="1" w:name="P35"/>
      <w:bookmarkEnd w:id="1"/>
      <w:r>
        <w:t>ФЕДЕРАЛЬНЫЕ НОРМЫ И ПРАВИЛА</w:t>
      </w:r>
    </w:p>
    <w:p w:rsidR="0034785B" w:rsidRDefault="00CD1730">
      <w:pPr>
        <w:pStyle w:val="ConsPlusTitle0"/>
        <w:jc w:val="center"/>
      </w:pPr>
      <w:r>
        <w:t>В ОБЛАСТИ ПРОМЫШЛЕННОЙ БЕЗОПАСНОСТИ "ПРАВИЛА ПРОВЕДЕНИЯ</w:t>
      </w:r>
    </w:p>
    <w:p w:rsidR="0034785B" w:rsidRDefault="00CD1730">
      <w:pPr>
        <w:pStyle w:val="ConsPlusTitle0"/>
        <w:jc w:val="center"/>
      </w:pPr>
      <w:r>
        <w:t>ЭКСПЕРТИЗЫ ПРОМЫШЛЕННОЙ БЕЗОПАСНОСТИ"</w:t>
      </w:r>
    </w:p>
    <w:p w:rsidR="0034785B" w:rsidRDefault="0034785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4785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85B" w:rsidRDefault="0034785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85B" w:rsidRDefault="0034785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85B" w:rsidRDefault="00CD173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4785B" w:rsidRDefault="00CD1730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Ростехнадзора от 13.04.2022 </w:t>
            </w:r>
            <w:hyperlink r:id="rId14" w:tooltip="Приказ Ростехнадзора от 13.04.2022 N 12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4785B" w:rsidRDefault="00CD173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20.02.2024 </w:t>
            </w:r>
            <w:hyperlink r:id="rId15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29.01.2025 </w:t>
            </w:r>
            <w:hyperlink r:id="rId16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85B" w:rsidRDefault="0034785B">
            <w:pPr>
              <w:pStyle w:val="ConsPlusNormal0"/>
            </w:pPr>
          </w:p>
        </w:tc>
      </w:tr>
    </w:tbl>
    <w:p w:rsidR="0034785B" w:rsidRDefault="0034785B">
      <w:pPr>
        <w:pStyle w:val="ConsPlusNormal0"/>
        <w:jc w:val="both"/>
      </w:pPr>
    </w:p>
    <w:p w:rsidR="0034785B" w:rsidRDefault="00CD1730">
      <w:pPr>
        <w:pStyle w:val="ConsPlusTitle0"/>
        <w:jc w:val="center"/>
        <w:outlineLvl w:val="1"/>
      </w:pPr>
      <w:r>
        <w:t>I. Общие положения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>1. Федеральные нормы и правила в области промышленной безопасности "Правила проведения экспертизы промышленной безопасности" (далее - Правила) устанавливают процедуру проведения экспертизы промышленной безопасности (далее - экспертиза), требования к оформл</w:t>
      </w:r>
      <w:r>
        <w:t>ению заключения экспертизы и требования к экспертам в области промышленной безопасности (далее - эксперты).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2. Правила применяются при проведении экспертизы объектов, предусмотренных </w:t>
      </w:r>
      <w:hyperlink r:id="rId17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пунктом 1 статьи 13</w:t>
        </w:r>
      </w:hyperlink>
      <w:r>
        <w:t xml:space="preserve"> Ф</w:t>
      </w:r>
      <w:r>
        <w:t>едерального закона от 21 июля 1997 г. N 116-ФЗ "О промышленной безопасности опасных производственных объектов" (далее - объекты экспертизы).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Правила не применяются при проведении страховщиком экспертизы опасного объекта, предусмотренной </w:t>
      </w:r>
      <w:hyperlink r:id="rId18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<w:r>
          <w:rPr>
            <w:color w:val="0000FF"/>
          </w:rPr>
          <w:t>подпунктом 1 пункта 1 статьи 12</w:t>
        </w:r>
      </w:hyperlink>
      <w:r>
        <w:t xml:space="preserve"> Федерального закона от 27 июля 2010 г. N 225-ФЗ "Об обязательном страховании гражданской ответственности владель</w:t>
      </w:r>
      <w:r>
        <w:t>ца опасного объекта за причинение вреда в результате аварии на опасном объекте" (Собрание законодательства Российской Федерации, 2010, N 31, ст. 4194;</w:t>
      </w:r>
      <w:proofErr w:type="gramEnd"/>
      <w:r>
        <w:t xml:space="preserve"> </w:t>
      </w:r>
      <w:proofErr w:type="gramStart"/>
      <w:r>
        <w:t>2018, N 52, ст. 8102).</w:t>
      </w:r>
      <w:proofErr w:type="gramEnd"/>
    </w:p>
    <w:p w:rsidR="0034785B" w:rsidRDefault="00CD1730">
      <w:pPr>
        <w:pStyle w:val="ConsPlusNormal0"/>
        <w:spacing w:before="240"/>
        <w:ind w:firstLine="540"/>
        <w:jc w:val="both"/>
      </w:pPr>
      <w:r>
        <w:t>4. Техническое устройство, применяемое на опасном производственном объекте, подлеж</w:t>
      </w:r>
      <w:r>
        <w:t>ит экспертизе (если техническим регламентом не установлена иная форма оценки соответствия указанного устройства обязательным требованиям):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до начала применения на опасном производственном объекте;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по истечении срока службы или при превышении количества цик</w:t>
      </w:r>
      <w:r>
        <w:t>лов нагрузки такого технического устройства, установленных его производителем;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при отсутствии в технической документации данных о сроке службы такого технического устройства, если фактический срок его службы превышает десять лет;</w:t>
      </w:r>
    </w:p>
    <w:p w:rsidR="0034785B" w:rsidRDefault="00CD1730">
      <w:pPr>
        <w:pStyle w:val="ConsPlusNormal0"/>
        <w:jc w:val="both"/>
      </w:pPr>
      <w:r>
        <w:t xml:space="preserve">(в ред. </w:t>
      </w:r>
      <w:hyperlink r:id="rId19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20.02.2024 N 60)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после проведения работ, связанных с изменением конструкции, заменой материала несущих элементов такого </w:t>
      </w:r>
      <w:r>
        <w:t xml:space="preserve">технического устройства, либо восстановительного ремонта после аварии или </w:t>
      </w:r>
      <w:r>
        <w:lastRenderedPageBreak/>
        <w:t>инцидента на опасном производственном объекте, в результате которых было повреждено такое техническое устройство. &lt;1&gt;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20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2 статьи 7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>5. Здания и сооружения на опасном производственном объекте, предназначенные для осуществления технологических процессов, хранения сырья или продукции, перемещения людей и грузов, локализации и ликвидации последствий аварий, подлежат экспертизе: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в случае ис</w:t>
      </w:r>
      <w:r>
        <w:t>течения срока эксплуатации здания или сооружения, установленного проектной документацией;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в случае отсутствия проектной документации, либо отсутствия в проектной документации данных о сроке эксплуатации здания или сооружения;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после аварии на опасном произв</w:t>
      </w:r>
      <w:r>
        <w:t>одственном объекте, в результате которой были повреждены несущие конструкции данных зданий и сооружений;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по истечении сроков безопасной эксплуатации, установленных заключениями экспертизы.</w:t>
      </w:r>
    </w:p>
    <w:p w:rsidR="0034785B" w:rsidRDefault="0034785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4785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85B" w:rsidRDefault="0034785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85B" w:rsidRDefault="0034785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85B" w:rsidRDefault="00CD1730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4785B" w:rsidRDefault="00CD1730">
            <w:pPr>
              <w:pStyle w:val="ConsPlusNormal0"/>
              <w:jc w:val="both"/>
            </w:pPr>
            <w:r>
              <w:rPr>
                <w:color w:val="392C69"/>
              </w:rPr>
              <w:t>Об особенностях экспертизы в отноше</w:t>
            </w:r>
            <w:r>
              <w:rPr>
                <w:color w:val="392C69"/>
              </w:rPr>
              <w:t xml:space="preserve">нии объектов организаций промышленности боеприпасов и спецхимии, включенных в реестр организаций оборонно-промышленного комплекса, в период СВО см. </w:t>
            </w:r>
            <w:hyperlink r:id="rId21" w:tooltip="Постановление Правительства РФ от 12.03.2022 N 353 (ред. от 15.04.2026) &quot;Об особенностях разрешительной деятельности в Российской Федераци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85B" w:rsidRDefault="0034785B">
            <w:pPr>
              <w:pStyle w:val="ConsPlusNormal0"/>
            </w:pPr>
          </w:p>
        </w:tc>
      </w:tr>
    </w:tbl>
    <w:p w:rsidR="0034785B" w:rsidRDefault="00CD1730">
      <w:pPr>
        <w:pStyle w:val="ConsPlusNormal0"/>
        <w:spacing w:before="300"/>
        <w:ind w:firstLine="540"/>
        <w:jc w:val="both"/>
      </w:pPr>
      <w:r>
        <w:t>6. Экспертиза технических устройств, зданий и сооружений на опасных производственных объектах, используемых в интересах обороны и безопасности государства, производится с учетом требований законодательства Российской Федерации об обороне и о защите государ</w:t>
      </w:r>
      <w:r>
        <w:t>ственной тайны.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Title0"/>
        <w:jc w:val="center"/>
        <w:outlineLvl w:val="1"/>
      </w:pPr>
      <w:r>
        <w:t>II. Требования к экспертам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 xml:space="preserve">7. </w:t>
      </w:r>
      <w:proofErr w:type="gramStart"/>
      <w:r>
        <w:t xml:space="preserve">Эксперт в области промышленной безопасности (далее - эксперт) - физическое лицо, которое соответствует квалификационным требованиям профессионального стандарта либо аттестовано в установленном Правительством </w:t>
      </w:r>
      <w:r>
        <w:t>Российской Федерации порядке &lt;2&gt;, обладает специальными знаниями в области промышленной безопасности и соответствует требованиям, установленным федеральными нормами и правилами в области промышленной безопасности &lt;3&gt;.</w:t>
      </w:r>
      <w:proofErr w:type="gramEnd"/>
    </w:p>
    <w:p w:rsidR="0034785B" w:rsidRDefault="00CD1730">
      <w:pPr>
        <w:pStyle w:val="ConsPlusNormal0"/>
        <w:jc w:val="both"/>
      </w:pPr>
      <w:r>
        <w:t xml:space="preserve">(п. 7 в ред. </w:t>
      </w:r>
      <w:hyperlink r:id="rId22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20.02.2024 N 60)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23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Положение</w:t>
        </w:r>
      </w:hyperlink>
      <w:r>
        <w:t xml:space="preserve"> об аттестации экспертов в области промышленной безопасности, утвержденное постановлением Правительства Российской Федерации от 2 июня 2022 г. </w:t>
      </w:r>
      <w:r>
        <w:t>N 1009 (далее - Положение).</w:t>
      </w:r>
    </w:p>
    <w:p w:rsidR="0034785B" w:rsidRDefault="00CD1730">
      <w:pPr>
        <w:pStyle w:val="ConsPlusNormal0"/>
        <w:jc w:val="both"/>
      </w:pPr>
      <w:r>
        <w:lastRenderedPageBreak/>
        <w:t xml:space="preserve">(сноска в ред. </w:t>
      </w:r>
      <w:hyperlink r:id="rId24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20.02.2024 N 60)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25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Абзац одиннадцатый статьи 1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34785B" w:rsidRDefault="00CD1730">
      <w:pPr>
        <w:pStyle w:val="ConsPlusNormal0"/>
        <w:jc w:val="both"/>
      </w:pPr>
      <w:r>
        <w:t xml:space="preserve">(сноска в ред. </w:t>
      </w:r>
      <w:hyperlink r:id="rId26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20.02.2024 N 60)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>8. Эксперт первой категории &lt;4&gt; должен соответствовать следующим требованиям: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7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Подпункт "а" пункта 36</w:t>
        </w:r>
      </w:hyperlink>
      <w:r>
        <w:t xml:space="preserve"> Положения.</w:t>
      </w:r>
    </w:p>
    <w:p w:rsidR="0034785B" w:rsidRDefault="00CD1730">
      <w:pPr>
        <w:pStyle w:val="ConsPlusNormal0"/>
        <w:jc w:val="both"/>
      </w:pPr>
      <w:r>
        <w:t xml:space="preserve">(сноска в ред. </w:t>
      </w:r>
      <w:hyperlink r:id="rId28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</w:t>
      </w:r>
      <w:r>
        <w:t xml:space="preserve"> 20.02.2024 N 60)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>1) иметь высшее образование;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2) иметь стаж работы не менее 10 лет по специальности, соответствующей его области (областям) аттестации;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3) знать нормативные правовые акты Российской Федерации в области промышленной безопасности, средства </w:t>
      </w:r>
      <w:r>
        <w:t>измерений и оборудование, а также методы технического диагностирования, неразрушающего и разрушающего контроля технических устройств, обследования зданий и сооружений, оценки риска аварии на опасном производственном объекте и связанных с ней угроз негативн</w:t>
      </w:r>
      <w:r>
        <w:t>ых последствий, необходимых для осуществления экспертизы;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4) иметь опыт проведения не менее 15 экспертиз.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9. Эксперт второй категории &lt;5&gt; должен соответствовать следующим требованиям: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9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Подпункт "а" пункта 36</w:t>
        </w:r>
      </w:hyperlink>
      <w:r>
        <w:t xml:space="preserve"> Положения.</w:t>
      </w:r>
    </w:p>
    <w:p w:rsidR="0034785B" w:rsidRDefault="00CD1730">
      <w:pPr>
        <w:pStyle w:val="ConsPlusNormal0"/>
        <w:jc w:val="both"/>
      </w:pPr>
      <w:r>
        <w:t xml:space="preserve">(сноска в ред. </w:t>
      </w:r>
      <w:hyperlink r:id="rId30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20.02.2024 N 60)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>1) иметь высшее образование;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2) иметь стаж работы не менее 7 лет по специальности, соответствующей его области (областям) аттестации;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3) знать нормативные правовые акты Российской Федерац</w:t>
      </w:r>
      <w:r>
        <w:t>ии в области промышленной безопасности, средства измерений и оборудование, а также методы технического диагностирования, неразрушающего и разрушающего контроля технических устройств, обследования зданий и сооружений, оценки риска аварии на опасном производ</w:t>
      </w:r>
      <w:r>
        <w:t>ственном объекте и связанных с ней угроз негативных последствий, необходимых для осуществления экспертизы;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4) иметь опыт проведения не менее 10 экспертиз.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10. Эксперт третьей категории &lt;6&gt; должен соответствовать следующим требованиям: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</w:t>
      </w:r>
      <w:r>
        <w:t>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lastRenderedPageBreak/>
        <w:t xml:space="preserve">&lt;6&gt; </w:t>
      </w:r>
      <w:hyperlink r:id="rId31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Подпункт "а" пункта 36</w:t>
        </w:r>
      </w:hyperlink>
      <w:r>
        <w:t xml:space="preserve"> Положения.</w:t>
      </w:r>
    </w:p>
    <w:p w:rsidR="0034785B" w:rsidRDefault="00CD1730">
      <w:pPr>
        <w:pStyle w:val="ConsPlusNormal0"/>
        <w:jc w:val="both"/>
      </w:pPr>
      <w:r>
        <w:t xml:space="preserve">(сноска в ред. </w:t>
      </w:r>
      <w:hyperlink r:id="rId32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20.02.2024 N 60)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>1) иметь высшее образование;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2) иметь стаж работы не менее 5 лет по специальности, соответствующей его области (областям) аттестации;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3) знать нормативные правовые акты Российской Федерац</w:t>
      </w:r>
      <w:r>
        <w:t>ии в области промышленной безопасности, средства измерений и оборудование, а также методов технического диагностирования, неразрушающего и разрушающего контроля технических устройств, обследования зданий и сооружений, оценки риска аварии на опасном произво</w:t>
      </w:r>
      <w:r>
        <w:t>дственном объекте и связанных с ней угроз негативных последствий, необходимых для осуществления экспертизы.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11. Эксперту запрещается участвовать в проведении экспертизы в отношении опасных производственных объектов, принадлежащих на праве собственности или</w:t>
      </w:r>
      <w:r>
        <w:t xml:space="preserve"> ином законном основании организации, в трудовых отношениях с которой он состоит. &lt;7&gt;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33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10 статьи 13</w:t>
        </w:r>
      </w:hyperlink>
      <w:r>
        <w:t xml:space="preserve"> Федерального закона от 21 июля 1997 г. N 116-ФЗ "О промышленно</w:t>
      </w:r>
      <w:r>
        <w:t>й безопасности опасных производственных объектов".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 xml:space="preserve">Эксперт, которому известны обстоятельства, препятствующие его привлечению к проведению экспертизы либо не позволяющие ему соблюдать принципы ее проведения, установленные </w:t>
      </w:r>
      <w:hyperlink w:anchor="P115" w:tooltip="13.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независимости, объективности, всесторонности и полноты исследований, проводимых с использование">
        <w:r>
          <w:rPr>
            <w:color w:val="0000FF"/>
          </w:rPr>
          <w:t>пунктом 13</w:t>
        </w:r>
      </w:hyperlink>
      <w:r>
        <w:t xml:space="preserve"> настоящих Правил, не должен участвовать в проведении экспертизы.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12. Эксперты обязаны: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определять соответствие объектов экспертизы промышленной безопасности требованиям промышленной безопасности путем проведения анализа материалов, предоставл</w:t>
      </w:r>
      <w:r>
        <w:t>енных на экспертизу промышленной безопасности, и фактического состояния технических устройств, применяемых на опасных производственных объектах, зданий и сооружений на опасных производственных объектах, подготавливать заключение экспертизы промышленной без</w:t>
      </w:r>
      <w:r>
        <w:t>опасности и предоставлять его руководителю организации, проводящей экспертизу промышленной безопасности;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обеспечивать объективность и обоснованность выводов заключения экспертизы;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обеспечивать сохранность документов и конфиденциальность сведений, представл</w:t>
      </w:r>
      <w:r>
        <w:t>енных на экспертизу. &lt;8&gt;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34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9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Title0"/>
        <w:jc w:val="center"/>
        <w:outlineLvl w:val="1"/>
      </w:pPr>
      <w:r>
        <w:t>III. Прове</w:t>
      </w:r>
      <w:r>
        <w:t>дение экспертизы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bookmarkStart w:id="2" w:name="P115"/>
      <w:bookmarkEnd w:id="2"/>
      <w:r>
        <w:t>13.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независимости, объективности, всесторонности и полноты исследований, пров</w:t>
      </w:r>
      <w:r>
        <w:t>одимых с использованием современных достижений науки и техники. &lt;9&gt;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35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3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>14. Срок проведения экспертизы определяется сложностью объекта экспертизы,</w:t>
      </w:r>
      <w:r>
        <w:t xml:space="preserve"> но не должен превышать трех месяцев со дня получения экспертной организацией от заказчика экспертизы (далее - заказчик) комплекта необходимых материалов и документов. Срок проведения экспертизы может быть продлен по соглашению сторон.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15. Экспертизу прово</w:t>
      </w:r>
      <w:r>
        <w:t>дят организации, имеющие лицензию на деятельность по проведению экспертизы промышленной безопасности, за счет средств ее заказчика. &lt;10&gt;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36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2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 xml:space="preserve">16. </w:t>
      </w:r>
      <w:proofErr w:type="gramStart"/>
      <w:r>
        <w:t>Организации, имеющей лицензию на проведение экспертизы промышленной бе</w:t>
      </w:r>
      <w:r>
        <w:t>зопасности, запрещается проводить данную экспертизу в отношении опасных производственных объектов, принадлежащих на праве собственности или ином законном основании ей или лицам, входящим с ней в одну группу лиц в соответствии с антимонопольным законодатель</w:t>
      </w:r>
      <w:r>
        <w:t>ством Российской Федерации, а также в отношении иных объектов экспертизы, связанных с такими опасными производственными объектами, и объектов экспертизы, указанных в</w:t>
      </w:r>
      <w:proofErr w:type="gramEnd"/>
      <w:r>
        <w:t xml:space="preserve"> </w:t>
      </w:r>
      <w:hyperlink r:id="rId37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proofErr w:type="gramStart"/>
        <w:r>
          <w:rPr>
            <w:color w:val="0000FF"/>
          </w:rPr>
          <w:t>абзацах</w:t>
        </w:r>
        <w:proofErr w:type="gramEnd"/>
        <w:r>
          <w:rPr>
            <w:color w:val="0000FF"/>
          </w:rPr>
          <w:t xml:space="preserve"> втором</w:t>
        </w:r>
      </w:hyperlink>
      <w:r>
        <w:t xml:space="preserve">, </w:t>
      </w:r>
      <w:hyperlink r:id="rId38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третьем</w:t>
        </w:r>
      </w:hyperlink>
      <w:r>
        <w:t xml:space="preserve">, </w:t>
      </w:r>
      <w:hyperlink r:id="rId39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шестом</w:t>
        </w:r>
      </w:hyperlink>
      <w:r>
        <w:t xml:space="preserve">, </w:t>
      </w:r>
      <w:hyperlink r:id="rId40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седьмом пункта 1 статьи 13</w:t>
        </w:r>
      </w:hyperlink>
      <w:r>
        <w:t xml:space="preserve"> Федерального закона от 21 июля 1997 г. N 116-ФЗ "О промышленной безопасности о</w:t>
      </w:r>
      <w:r>
        <w:t>пасных производственных объектов", разработчиком которых являлась такая организация. Заключение экспертизы, составленное с нарушением данного требования, не может быть использовано для целей, установленных законодательством Российской Федерации. &lt;11&gt;</w:t>
      </w:r>
    </w:p>
    <w:p w:rsidR="0034785B" w:rsidRDefault="00CD1730">
      <w:pPr>
        <w:pStyle w:val="ConsPlusNormal0"/>
        <w:jc w:val="both"/>
      </w:pPr>
      <w:r>
        <w:t>(в ре</w:t>
      </w:r>
      <w:r>
        <w:t xml:space="preserve">д. </w:t>
      </w:r>
      <w:hyperlink r:id="rId41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29.01.2025 N 29)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42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Пункты 2</w:t>
        </w:r>
      </w:hyperlink>
      <w:r>
        <w:t xml:space="preserve"> и </w:t>
      </w:r>
      <w:hyperlink r:id="rId43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3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34785B" w:rsidRDefault="00CD1730">
      <w:pPr>
        <w:pStyle w:val="ConsPlusNormal0"/>
        <w:jc w:val="both"/>
      </w:pPr>
      <w:r>
        <w:t xml:space="preserve">(сноска в ред. </w:t>
      </w:r>
      <w:hyperlink r:id="rId44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29.01.2025 N 29)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>17. Руководителем организации, проводящей экспертизу, в письменной форме либо в форме электронного документа, подписанного электр</w:t>
      </w:r>
      <w:r>
        <w:t xml:space="preserve">онной подписью в соответствии с Федеральным </w:t>
      </w:r>
      <w:hyperlink r:id="rId45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6 апреля 2011 г. N 63-ФЗ "Об электронной подписи", определяются участвующие в проведении экспертизы эксперт или группа экспертов, область аттестации которых соответствует объекту экспертизы.</w:t>
      </w:r>
    </w:p>
    <w:p w:rsidR="0034785B" w:rsidRDefault="00CD1730">
      <w:pPr>
        <w:pStyle w:val="ConsPlusNormal0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46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29.01.2025 N 29)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В случае участия в экспертизе группы экспертов, может быть определен руководитель группы экспертов, обеспечивающий обобщение результатов,</w:t>
      </w:r>
      <w:r>
        <w:t xml:space="preserve"> своевременность проведения экспертизы и подготовку заключения экспертизы. Область аттестации руководителя группы экспертов должна соответствовать объекту экспертизы.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18. В проведении экспертизы в отношении опасных производственных объектов I класса опасно</w:t>
      </w:r>
      <w:r>
        <w:t xml:space="preserve">сти вправе участвовать эксперты первой категории, аттестованные в области аттестации, соответствующей объекту экспертизы, в порядке, установленном </w:t>
      </w:r>
      <w:hyperlink r:id="rId47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Пол</w:t>
        </w:r>
        <w:r>
          <w:rPr>
            <w:color w:val="0000FF"/>
          </w:rPr>
          <w:t>ожением</w:t>
        </w:r>
      </w:hyperlink>
      <w:r>
        <w:t>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19. В проведении экспертизы в отношении опасных производственных объектов II класса опасности &lt;12&gt; вправе участвовать эксперты первой и (или) второй категории, аттестованные в области аттестации, соответствующей объекту экспертизы, в порядке, уста</w:t>
      </w:r>
      <w:r>
        <w:t xml:space="preserve">новленном </w:t>
      </w:r>
      <w:hyperlink r:id="rId48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Положением</w:t>
        </w:r>
      </w:hyperlink>
      <w:r>
        <w:t>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&lt;12&gt; </w:t>
      </w:r>
      <w:hyperlink r:id="rId49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3 статьи 2</w:t>
        </w:r>
      </w:hyperlink>
      <w:r>
        <w:t xml:space="preserve"> Федерального закона от 21 июля 19</w:t>
      </w:r>
      <w:r>
        <w:t>97 г. N 116-ФЗ "О промышленной безопасности опасных производственных объектов".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>20. В проведении экспертизы в отношении опасных производственных объектов III и IV классов опасности &lt;13&gt; вправе участвовать эксперты первой, и (или) второй, и (или) третьей к</w:t>
      </w:r>
      <w:r>
        <w:t xml:space="preserve">атегории, аттестованные в области аттестации, соответствующей объекту экспертизы, в порядке, установленном </w:t>
      </w:r>
      <w:hyperlink r:id="rId50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Положением</w:t>
        </w:r>
      </w:hyperlink>
      <w:r>
        <w:t>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</w:t>
      </w:r>
      <w:r>
        <w:t>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&lt;13&gt; </w:t>
      </w:r>
      <w:hyperlink r:id="rId51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3 статьи 2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>21. Экспертная организация приступает к проведению экспертизы посл</w:t>
      </w:r>
      <w:r>
        <w:t>е: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предоставления заказчиком необходимых для проведения экспертизы документов;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предоставления образцов технических устройств либо обеспечения доступа экспертов к техническим устройствам, зданиям и сооружениям, применяемым на опасном производственном объект</w:t>
      </w:r>
      <w:r>
        <w:t>е.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22. Заказчик обязан предоставить безопасный доступ экспертам, участвующим в проведении экспертизы, к техническим устройствам, применяемым на опасном производственном объекте, к зданиям и сооружениям опасных производственных объектов, в отношении которых</w:t>
      </w:r>
      <w:r>
        <w:t xml:space="preserve"> проводится экспертиза.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Эксперты, участвующие в проведении экспертизы, обязаны соблюдать положения нормативных правовых актов, устанавливающих требования промышленной безопасности, а также правила ведения работ на опасном производственном объекте, установл</w:t>
      </w:r>
      <w:r>
        <w:t>енные заказчиком.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lastRenderedPageBreak/>
        <w:t>23. При проведении экспертизы устанавливается полнота и достоверность относящихся к объекту экспертизы документов, предоставленных заказчиком, оценивается фактическое состояние технических устройств, зданий и сооружений на опасных производственных объектах</w:t>
      </w:r>
      <w:r>
        <w:t>. При оценке фактического состояния технических устройств, зданий и сооружений на опасных производственных объектах допускается использование информации автоматизированных систем мониторинга их технического состояния, применяемых юридическим лицом (индивид</w:t>
      </w:r>
      <w:r>
        <w:t>уальным предпринимателем), эксплуатирующим опасный производственный объект.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Для оценки фактического состояния зданий и сооружений проводится их обследование.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Техническое диагностирование технических устрой</w:t>
      </w:r>
      <w:proofErr w:type="gramStart"/>
      <w:r>
        <w:t>ств пр</w:t>
      </w:r>
      <w:proofErr w:type="gramEnd"/>
      <w:r>
        <w:t>оводится для оценки фактического состояния те</w:t>
      </w:r>
      <w:r>
        <w:t>хнических устройств в следующих случаях: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1) при проведении экспертизы по истечении срока службы или при превышении количества циклов нагрузки такого технического устройства, установленных его производителем, либо при отсутствии в технической документации д</w:t>
      </w:r>
      <w:r>
        <w:t>анных о сроке службы такого технического устройства, если фактический срок его службы превышает десять лет;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2) при проведении экспертизы после проведения восстановительного ремонта после аварии или инцидента на опасном производственном объекте, в результат</w:t>
      </w:r>
      <w:r>
        <w:t>е которых было повреждено такое техническое устройство;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3) при обнаружении экспертами дефектов, способных повлиять на прочность конструкции, или дефектов неизвестного происхождения.</w:t>
      </w:r>
    </w:p>
    <w:p w:rsidR="0034785B" w:rsidRDefault="00CD1730">
      <w:pPr>
        <w:pStyle w:val="ConsPlusNormal0"/>
        <w:jc w:val="both"/>
      </w:pPr>
      <w:r>
        <w:t xml:space="preserve">(п. 23 в ред. </w:t>
      </w:r>
      <w:hyperlink r:id="rId52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29.01.2025 N 29)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24. При проведении экспертизы технических устройств экспертом (экспертами) выполняются: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1) анализ документации, относящейся к техническим устройс</w:t>
      </w:r>
      <w:r>
        <w:t>твам (включая акты расследования аварий и инцидентов, связанных с эксплуатацией технических устройств, заключения экспертизы ранее проводимых экспертиз) и режимам эксплуатации технических устройств (при наличии);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2) осмотр технических устройств.</w:t>
      </w:r>
    </w:p>
    <w:p w:rsidR="0034785B" w:rsidRDefault="00CD1730">
      <w:pPr>
        <w:pStyle w:val="ConsPlusNormal0"/>
        <w:jc w:val="both"/>
      </w:pPr>
      <w:r>
        <w:t>(п. 24 в р</w:t>
      </w:r>
      <w:r>
        <w:t xml:space="preserve">ед. </w:t>
      </w:r>
      <w:hyperlink r:id="rId53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29.01.2025 N 29)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25. Техническое диагностирование технических устройств должно включать следующие </w:t>
      </w:r>
      <w:r>
        <w:t>мероприятия: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1) визуальный и измерительный контроль;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2) оперативное (функциональное) диагностирование для получения информации о состоянии, фактических параметрах работы, фактического </w:t>
      </w:r>
      <w:proofErr w:type="spellStart"/>
      <w:r>
        <w:t>нагружения</w:t>
      </w:r>
      <w:proofErr w:type="spellEnd"/>
      <w:r>
        <w:t xml:space="preserve"> технического устройства в реальных условиях эксплуатации;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3) </w:t>
      </w:r>
      <w:r>
        <w:t>определение повреждающих факторов, механизмов повреждения и восприимчивости материала технического устройства к механизмам повреждения;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lastRenderedPageBreak/>
        <w:t>4) оценку качества соединений элементов технического устройства (при наличии);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5) выбор методов неразрушающего или разру</w:t>
      </w:r>
      <w:r>
        <w:t>шающего контроля, наиболее эффективно выявляющих дефекты, образующиеся в результате воздействия установленных механизмов повреждения (при наличии);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6) неразрушающий контроль или разрушающий контроль металла и сварных соединений технического устройства (при</w:t>
      </w:r>
      <w:r>
        <w:t xml:space="preserve"> наличии);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7) оценку выявленных дефектов на основании результатов визуального и измерительного контроля, методов неразрушающего или разрушающего контроля;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8) исследование материалов технического устройства;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9) расчетные и аналитические процедуры оценки и п</w:t>
      </w:r>
      <w:r>
        <w:t>рогнозирования технического состояния технического устройства, включающие анализ режимов работы и исследование напряженно-деформированного состояния;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10) оценку остаточного ресурса (срока службы).</w:t>
      </w:r>
    </w:p>
    <w:p w:rsidR="0034785B" w:rsidRDefault="00CD1730">
      <w:pPr>
        <w:pStyle w:val="ConsPlusNormal0"/>
        <w:jc w:val="both"/>
      </w:pPr>
      <w:r>
        <w:t xml:space="preserve">(п. 25 в ред. </w:t>
      </w:r>
      <w:hyperlink r:id="rId54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29.01.2025 N 29)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26. При проведении экспертизы зданий и сооружений экспертом (экспертами) выполняются: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</w:t>
      </w:r>
      <w:r>
        <w:t>) анализ: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проектной и исполнительной документации на строительство, реконструкцию здания (сооружения), разрешения на ввод в эксплуатацию здания (сооружения);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документов, удостоверяющих качество строительных конструкций и материалов;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актов расследования аварий;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заключений ранее проводимых экспертиз здания (сооружения);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эксплуатационной документации, документации о текущих и капитальных ремонтах, документации об изменениях конструкций зданий (сооружений);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2) осмотр зданий и сооружений.</w:t>
      </w:r>
    </w:p>
    <w:p w:rsidR="0034785B" w:rsidRDefault="00CD1730">
      <w:pPr>
        <w:pStyle w:val="ConsPlusNormal0"/>
        <w:jc w:val="both"/>
      </w:pPr>
      <w:r>
        <w:t xml:space="preserve">(п. 26 в ред. </w:t>
      </w:r>
      <w:hyperlink r:id="rId55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29.01.2025 N 29)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27. Обследование зданий и сооружений должно включать следующие мероприя</w:t>
      </w:r>
      <w:r>
        <w:t>тия: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1) определение соответствия строительных конструкций зданий и сооружений проектной документации и требованиям нормативных правовых актов и документов по стандартизации &lt;13(1)&gt;, выявление дефектов и повреждений элементов и узлов конструкций зданий и со</w:t>
      </w:r>
      <w:r>
        <w:t>оружений с составлением ведомостей дефектов и повреждений;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lastRenderedPageBreak/>
        <w:t xml:space="preserve">&lt;13(1)&gt; </w:t>
      </w:r>
      <w:hyperlink r:id="rId56" w:tooltip="Федеральный закон от 29.06.2015 N 162-ФЗ (ред. от 30.12.2020) &quot;О стандартизации в Российской Федерации&quot; {КонсультантПлюс}">
        <w:r>
          <w:rPr>
            <w:color w:val="0000FF"/>
          </w:rPr>
          <w:t>Статья 14</w:t>
        </w:r>
      </w:hyperlink>
      <w:r>
        <w:t xml:space="preserve"> Федерального закона от 29 июня 2015 г. N 162-ФЗ "О стандартизации в Российской Федерации".</w:t>
      </w:r>
    </w:p>
    <w:p w:rsidR="0034785B" w:rsidRDefault="0034785B">
      <w:pPr>
        <w:pStyle w:val="ConsPlusNormal0"/>
        <w:ind w:firstLine="540"/>
        <w:jc w:val="both"/>
      </w:pPr>
    </w:p>
    <w:p w:rsidR="0034785B" w:rsidRDefault="00CD1730">
      <w:pPr>
        <w:pStyle w:val="ConsPlusNormal0"/>
        <w:ind w:firstLine="540"/>
        <w:jc w:val="both"/>
      </w:pPr>
      <w:r>
        <w:t>2) определение пространственного положения строительных конструкц</w:t>
      </w:r>
      <w:r>
        <w:t>ий зданий и сооружений, их фактических сечений и состояния соединений;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3) определение степени влияния гидрологических, аэрологических и атмосферных воздействий (при наличии);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4) определение фактической прочности материалов и строительных конструкций зданий</w:t>
      </w:r>
      <w:r>
        <w:t xml:space="preserve"> и сооружений в сравнении с проектными параметрами;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5) оценку соответствия площади и весовых характеристик </w:t>
      </w:r>
      <w:proofErr w:type="spellStart"/>
      <w:r>
        <w:t>легкосбрасываемых</w:t>
      </w:r>
      <w:proofErr w:type="spellEnd"/>
      <w:r>
        <w:t xml:space="preserve"> конструкций зданий и сооружений требуемой величине, обеспечивающей </w:t>
      </w:r>
      <w:proofErr w:type="spellStart"/>
      <w:r>
        <w:t>взрывоустойчивость</w:t>
      </w:r>
      <w:proofErr w:type="spellEnd"/>
      <w:r>
        <w:t xml:space="preserve"> объекта (при наличии);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6) изучение химической</w:t>
      </w:r>
      <w:r>
        <w:t xml:space="preserve"> агрессивности производственной среды в отношении материалов строительных конструкций зданий и сооружений;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7) определение степени коррозии арматуры и металлических элементов строительных конструкций (при наличии);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8) поверочный расчет строительных конструк</w:t>
      </w:r>
      <w:r>
        <w:t>ций зданий и сооружений, учитывающий выявленные при обследовании отклонения, дефекты и повреждения, фактические (или прогнозируемые) нагрузки и свойства материалов этих конструкций;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9) оценку остаточной несущей способности и пригодности зданий и сооружений</w:t>
      </w:r>
      <w:r>
        <w:t xml:space="preserve"> к дальнейшей эксплуатации.</w:t>
      </w:r>
    </w:p>
    <w:p w:rsidR="0034785B" w:rsidRDefault="00CD1730">
      <w:pPr>
        <w:pStyle w:val="ConsPlusNormal0"/>
        <w:jc w:val="both"/>
      </w:pPr>
      <w:r>
        <w:t xml:space="preserve">(п. 27 в ред. </w:t>
      </w:r>
      <w:hyperlink r:id="rId57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29.01.2025 N 29)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28. При экспертизе документации на консерва</w:t>
      </w:r>
      <w:r>
        <w:t>цию, ликвидацию опасного производственного объекта выполняется анализ мероприятий, направленных на обеспечение промышленной безопасности при остановке объекта, а также исключение аварий и инцидентов при осуществлении работ по консервации, ликвидации опасно</w:t>
      </w:r>
      <w:r>
        <w:t>го производственного объекта.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29. При экспертизе документации на техническое перевооружение опасного производственного объекта в случае, если указанная документация не входит в состав проектной документации такого объекта, подлежащей экспертизе в соответст</w:t>
      </w:r>
      <w:r>
        <w:t>вии с законодательством о градостроительной деятельности, выполняется анализ принятых технических решений и мероприятий на предмет их соответствия действующим требованиям промышленной безопасности.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30. Экспертная организация вправе привлекать к проведению </w:t>
      </w:r>
      <w:r>
        <w:t>технического диагностирования, неразрушающего контроля, разрушающего контроля технических устройств, а также к проведению обследований зданий и сооружений иные организации или лиц, владеющих необходимым оборудованием для проведения указанных работ.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В случа</w:t>
      </w:r>
      <w:r>
        <w:t xml:space="preserve">ях, когда заказчик имеет в своем штате специалистов по техническому </w:t>
      </w:r>
      <w:r>
        <w:lastRenderedPageBreak/>
        <w:t>диагностированию, обследованию зданий и сооружений, неразрушающему контролю, разрушающему контролю, допускается привлекать данных специалистов заказчика к выполнению этих работ и учитывать</w:t>
      </w:r>
      <w:r>
        <w:t xml:space="preserve"> результаты работ, выполненных указанными специалистами при оформлении заключения экспертизы. При этом в заключени</w:t>
      </w:r>
      <w:proofErr w:type="gramStart"/>
      <w:r>
        <w:t>и</w:t>
      </w:r>
      <w:proofErr w:type="gramEnd"/>
      <w:r>
        <w:t xml:space="preserve"> экспертизы должны указываться виды работ, выполняемые специалистами заказчика.</w:t>
      </w:r>
    </w:p>
    <w:p w:rsidR="0034785B" w:rsidRDefault="00CD1730">
      <w:pPr>
        <w:pStyle w:val="ConsPlusNormal0"/>
        <w:spacing w:before="240"/>
        <w:ind w:firstLine="540"/>
        <w:jc w:val="both"/>
      </w:pPr>
      <w:bookmarkStart w:id="3" w:name="P197"/>
      <w:bookmarkEnd w:id="3"/>
      <w:r>
        <w:t>31. Акты по результатам проведения технического диагностирова</w:t>
      </w:r>
      <w:r>
        <w:t>ния, неразрушающего контроля, разрушающего контроля технических устройств, обследования зданий и сооружений составляются и подписываются лицами, проводившими работы, и руководителем проводившей их организации или руководителем организации, проводящей экспе</w:t>
      </w:r>
      <w:r>
        <w:t>ртизу, и прикладываются к заключению экспертизы.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Title0"/>
        <w:jc w:val="center"/>
        <w:outlineLvl w:val="1"/>
      </w:pPr>
      <w:r>
        <w:t>IV. Оформление заключения экспертизы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 xml:space="preserve">32. </w:t>
      </w:r>
      <w:proofErr w:type="gramStart"/>
      <w:r>
        <w:t>Результатом проведения экспертизы является заключение в письменной форме,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либо в форме электронно</w:t>
      </w:r>
      <w:r>
        <w:t>го документа, подписанного квалифицированными электронными подписями руководителя организации, проводившей экспертизу, и эксперта (экспертов), участвовавшего (участвовавших) в проведении экспертизы. &lt;14&gt;</w:t>
      </w:r>
      <w:proofErr w:type="gramEnd"/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58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4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34785B" w:rsidRDefault="0034785B">
      <w:pPr>
        <w:pStyle w:val="ConsPlusNormal0"/>
        <w:jc w:val="both"/>
      </w:pPr>
    </w:p>
    <w:p w:rsidR="0034785B" w:rsidRDefault="00CD1730">
      <w:pPr>
        <w:pStyle w:val="ConsPlusNormal0"/>
        <w:ind w:firstLine="540"/>
        <w:jc w:val="both"/>
      </w:pPr>
      <w:r>
        <w:t>33. Экспертная организация должна осуществлять учет выданных заключений экспертизы и х</w:t>
      </w:r>
      <w:r>
        <w:t>ранить их копии.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34. Заключение экспертизы должно содержать: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1) титульный лист с указанием наименования заключения экспертизы;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2) вводную часть, включающую: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указание на конкретные структурные единицы нормативных правовых актов в области промышленной безопасности (пункт, подпункт, часть, статья) на соответствие которым проводится оценка соответствия объекта экспертизы;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сведения об экспертной организации (наимен</w:t>
      </w:r>
      <w:r>
        <w:t>ование организации, ее организационно-правовая форма, дата выдачи лицензии на деятельность по проведению экспертизы промышленной безопасности, ее номер);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сведения об экспертах, принимавших участие в проведении экспертизы (фамилия, имя, отчество (при наличи</w:t>
      </w:r>
      <w:r>
        <w:t>и), регистрационный номер квалификационного удостоверения эксперта);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3) наименование объекта экспертизы, на который распространяется действие заключения экспертизы;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lastRenderedPageBreak/>
        <w:t>4) данные о заказчике (наименование организации, ее организационно-правовая форма);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5) цель</w:t>
      </w:r>
      <w:r>
        <w:t xml:space="preserve"> экспертизы;</w:t>
      </w:r>
    </w:p>
    <w:p w:rsidR="0034785B" w:rsidRDefault="00CD1730">
      <w:pPr>
        <w:pStyle w:val="ConsPlusNormal0"/>
        <w:spacing w:before="240"/>
        <w:ind w:firstLine="540"/>
        <w:jc w:val="both"/>
      </w:pPr>
      <w:proofErr w:type="gramStart"/>
      <w:r>
        <w:t>6) сведения о рассмотренных в процессе экспертизы документах с указанием объема материалов, имеющих шифр, номер, марку или другую индикацию, необходимую для идентификации, и (или) информацию об отсутствии (непредставлении) технической документ</w:t>
      </w:r>
      <w:r>
        <w:t>ации на технические устройства, проектной документации на здания или сооружения (с указанием причин, в том числе в случае утраты или порчи такой документации), сведения об информации автоматизированных систем мониторинга технического состояния</w:t>
      </w:r>
      <w:proofErr w:type="gramEnd"/>
      <w:r>
        <w:t xml:space="preserve"> технических </w:t>
      </w:r>
      <w:r>
        <w:t>устройств, зданий и сооружений на опасных производственных объектах экспертизы;</w:t>
      </w:r>
    </w:p>
    <w:p w:rsidR="0034785B" w:rsidRDefault="00CD1730">
      <w:pPr>
        <w:pStyle w:val="ConsPlusNormal0"/>
        <w:jc w:val="both"/>
      </w:pPr>
      <w:r>
        <w:t xml:space="preserve">(в ред. Приказов Ростехнадзора от 13.04.2022 </w:t>
      </w:r>
      <w:hyperlink r:id="rId59" w:tooltip="Приказ Ростехнадзора от 13.04.2022 N 12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">
        <w:r>
          <w:rPr>
            <w:color w:val="0000FF"/>
          </w:rPr>
          <w:t xml:space="preserve">N </w:t>
        </w:r>
        <w:r>
          <w:rPr>
            <w:color w:val="0000FF"/>
          </w:rPr>
          <w:t>120</w:t>
        </w:r>
      </w:hyperlink>
      <w:r>
        <w:t xml:space="preserve">, от 29.01.2025 </w:t>
      </w:r>
      <w:hyperlink r:id="rId60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N 29</w:t>
        </w:r>
      </w:hyperlink>
      <w:r>
        <w:t>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7) краткую характеристику и назначение объекта экспертизы;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8) результаты проведенной экспертизы со ссы</w:t>
      </w:r>
      <w:r>
        <w:t>лками на конкретные структурные единицы нормативных правовых актов в области промышленной безопасности;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9) выводы заключения экспертизы;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10) приложения, предусмотренные </w:t>
      </w:r>
      <w:hyperlink w:anchor="P197" w:tooltip="31. Акты по результатам проведения технического диагностирования, неразрушающего контроля, разрушающего контроля технических устройств, обследования зданий и сооружений составляются и подписываются лицами, проводившими работы, и руководителем проводившей их ор">
        <w:r>
          <w:rPr>
            <w:color w:val="0000FF"/>
          </w:rPr>
          <w:t>пунктом 31</w:t>
        </w:r>
      </w:hyperlink>
      <w:r>
        <w:t xml:space="preserve"> настоящих Правил;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11) сведения о провед</w:t>
      </w:r>
      <w:r>
        <w:t>енных мероприятиях и о результатах технического диагностирования технических устройств, обследования зданий и сооружений (при их проведении).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35. Заключение экспертизы должно содержать один из следующих выводов о соответствии объекта экспертизы требованиям</w:t>
      </w:r>
      <w:r>
        <w:t xml:space="preserve"> промышленной безопасности (кроме экспертизы декларации промышленной безопасности):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1) объект экспертизы соответствует требованиям промышленной безопасности;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2) объект экспертизы не соответствует требованиям промышленной безопасности.</w:t>
      </w:r>
    </w:p>
    <w:p w:rsidR="0034785B" w:rsidRDefault="00CD1730">
      <w:pPr>
        <w:pStyle w:val="ConsPlusNormal0"/>
        <w:jc w:val="both"/>
      </w:pPr>
      <w:r>
        <w:t xml:space="preserve">(п. 35 в ред. </w:t>
      </w:r>
      <w:hyperlink r:id="rId61" w:tooltip="Приказ Ростехнадзора от 13.04.2022 N 12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">
        <w:r>
          <w:rPr>
            <w:color w:val="0000FF"/>
          </w:rPr>
          <w:t>Приказа</w:t>
        </w:r>
      </w:hyperlink>
      <w:r>
        <w:t xml:space="preserve"> Ростехнадзора от 13.04.2022 N 120)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36. По результатам экспертизы технического устройства, зданий и сооружений опасных производственных объектов в заключени</w:t>
      </w:r>
      <w:proofErr w:type="gramStart"/>
      <w:r>
        <w:t>и</w:t>
      </w:r>
      <w:proofErr w:type="gramEnd"/>
      <w:r>
        <w:t xml:space="preserve"> экспертизы должны дополнительно приводиться сведения о расчетных и аналитических процедурах оценки и прогнозирования технического сост</w:t>
      </w:r>
      <w:r>
        <w:t>ояния объекта экспертизы, включающие определение остаточного ресурса (срока службы) с отражением в выводах заключения экспертизы установленного срока дальнейшей безопасной эксплуатации объекта экспертизы, с указанием условий дальнейшей безопасной эксплуата</w:t>
      </w:r>
      <w:r>
        <w:t>ции.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37. По результатам проведения экспертизы декларации промышленной безопасности в заключени</w:t>
      </w:r>
      <w:proofErr w:type="gramStart"/>
      <w:r>
        <w:t>и</w:t>
      </w:r>
      <w:proofErr w:type="gramEnd"/>
      <w:r>
        <w:t xml:space="preserve"> экспертизы должны содержаться следующие выводы: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об обоснованности применяемых физико-математических моделей и использованных методов расчета последствий аварии </w:t>
      </w:r>
      <w:r>
        <w:t>и показателей риска;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о правильности и достоверности выполненных расчетов по анализу риска, а также полноты учета факторов, влияющих на конечные результаты;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lastRenderedPageBreak/>
        <w:t>о вероятности реализации принятых сценариев аварий и возможности выхода поражающих факторов этих ава</w:t>
      </w:r>
      <w:r>
        <w:t>рий за границу опасного производственного объекта, а также последствиях воздействия поражающих факторов на население, другие объекты, окружающую среду;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о достаточности мер предотвращения проникновения на опасный производственный объект посторонних лиц.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38.</w:t>
      </w:r>
      <w:r>
        <w:t xml:space="preserve"> При проведении экспертизы обоснования безопасности опасного производственного объекта или вносимых в него изменений в заключени</w:t>
      </w:r>
      <w:proofErr w:type="gramStart"/>
      <w:r>
        <w:t>и</w:t>
      </w:r>
      <w:proofErr w:type="gramEnd"/>
      <w:r>
        <w:t xml:space="preserve"> экспертизы должны содержаться следующие сведения: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оценка полноты и достоверности информации, представленной в обосновании безо</w:t>
      </w:r>
      <w:r>
        <w:t>пасности;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оценка полноты и достаточности мероприятий, компенсирующих отступления от норм и правил в области промышленной безопасности;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оценка обоснованности результатов оценки риска аварий, в том числе адекватности применяемых физико-математических моделей</w:t>
      </w:r>
      <w:r>
        <w:t xml:space="preserve"> и использованных методов расчетов по оценке риска, правильности и достоверности этих расчетов, а также полноты учета всех факторов, влияющих на конечные результаты;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оценка учета современного опыта эксплуатации, капитального ремонта, консервации и ликвидац</w:t>
      </w:r>
      <w:r>
        <w:t>ии опасных производственных объектов в обосновании безопасности;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оценка полноты требований к эксплуатации, капитальному ремонту, консервации или ликвидации опасного производственного объекта, установленных в обосновании безопасности.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39. Утратил силу с 1 м</w:t>
      </w:r>
      <w:r>
        <w:t xml:space="preserve">арта 2023 года. - </w:t>
      </w:r>
      <w:hyperlink r:id="rId62" w:tooltip="Приказ Ростехнадзора от 13.04.2022 N 12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">
        <w:r>
          <w:rPr>
            <w:color w:val="0000FF"/>
          </w:rPr>
          <w:t>Приказ</w:t>
        </w:r>
      </w:hyperlink>
      <w:r>
        <w:t xml:space="preserve"> Ростехнадзора от 13.04.2022 N 120.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40. </w:t>
      </w:r>
      <w:proofErr w:type="gramStart"/>
      <w:r>
        <w:t>Заключение экспертизы не позднее 90 календарных дней со дня его</w:t>
      </w:r>
      <w:r>
        <w:t xml:space="preserve"> подписания руководителем организации, проводившей экспертизу, представляется заказчиком в федеральный орган исполнительной власти, осуществляющий контрольные и (или) надзорные функции в области промышленной безопасности на опасном производственном объекте</w:t>
      </w:r>
      <w:r>
        <w:t>, в отношении которого проведена экспертиза (его территориальный орган), для внесения в реестр заключений экспертизы промышленной безопасности. &lt;15&gt;</w:t>
      </w:r>
      <w:proofErr w:type="gramEnd"/>
    </w:p>
    <w:p w:rsidR="0034785B" w:rsidRDefault="00CD1730">
      <w:pPr>
        <w:pStyle w:val="ConsPlusNormal0"/>
        <w:jc w:val="both"/>
      </w:pPr>
      <w:r>
        <w:t xml:space="preserve">(в ред. </w:t>
      </w:r>
      <w:hyperlink r:id="rId63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Ростехнадзора от 29.01.2025 N 29)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4785B" w:rsidRDefault="00CD1730">
      <w:pPr>
        <w:pStyle w:val="ConsPlusNormal0"/>
        <w:spacing w:before="240"/>
        <w:ind w:firstLine="540"/>
        <w:jc w:val="both"/>
      </w:pPr>
      <w:r>
        <w:t xml:space="preserve">&lt;15&gt; </w:t>
      </w:r>
      <w:hyperlink r:id="rId64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 5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34785B" w:rsidRDefault="0034785B">
      <w:pPr>
        <w:pStyle w:val="ConsPlusNormal0"/>
        <w:jc w:val="both"/>
      </w:pPr>
    </w:p>
    <w:p w:rsidR="0034785B" w:rsidRDefault="0034785B">
      <w:pPr>
        <w:pStyle w:val="ConsPlusNormal0"/>
        <w:jc w:val="both"/>
      </w:pPr>
    </w:p>
    <w:p w:rsidR="0034785B" w:rsidRDefault="0034785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4785B">
      <w:headerReference w:type="default" r:id="rId65"/>
      <w:footerReference w:type="default" r:id="rId66"/>
      <w:headerReference w:type="first" r:id="rId67"/>
      <w:footerReference w:type="first" r:id="rId6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730" w:rsidRDefault="00CD1730">
      <w:r>
        <w:separator/>
      </w:r>
    </w:p>
  </w:endnote>
  <w:endnote w:type="continuationSeparator" w:id="0">
    <w:p w:rsidR="00CD1730" w:rsidRDefault="00CD1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85B" w:rsidRDefault="0034785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4785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4785B" w:rsidRDefault="0034785B">
          <w:pPr>
            <w:pStyle w:val="ConsPlusNormal0"/>
          </w:pPr>
        </w:p>
      </w:tc>
      <w:tc>
        <w:tcPr>
          <w:tcW w:w="1700" w:type="pct"/>
          <w:vAlign w:val="center"/>
        </w:tcPr>
        <w:p w:rsidR="0034785B" w:rsidRDefault="0034785B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34785B" w:rsidRDefault="0034785B">
          <w:pPr>
            <w:pStyle w:val="ConsPlusNormal0"/>
            <w:jc w:val="right"/>
          </w:pPr>
        </w:p>
      </w:tc>
    </w:tr>
  </w:tbl>
  <w:p w:rsidR="0034785B" w:rsidRDefault="00CD173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85B" w:rsidRDefault="0034785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4785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4785B" w:rsidRDefault="0034785B">
          <w:pPr>
            <w:pStyle w:val="ConsPlusNormal0"/>
          </w:pPr>
        </w:p>
      </w:tc>
      <w:tc>
        <w:tcPr>
          <w:tcW w:w="1700" w:type="pct"/>
          <w:vAlign w:val="center"/>
        </w:tcPr>
        <w:p w:rsidR="0034785B" w:rsidRDefault="0034785B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34785B" w:rsidRDefault="0034785B">
          <w:pPr>
            <w:pStyle w:val="ConsPlusNormal0"/>
            <w:jc w:val="right"/>
          </w:pPr>
        </w:p>
      </w:tc>
    </w:tr>
  </w:tbl>
  <w:p w:rsidR="0034785B" w:rsidRDefault="00CD173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730" w:rsidRDefault="00CD1730">
      <w:r>
        <w:separator/>
      </w:r>
    </w:p>
  </w:footnote>
  <w:footnote w:type="continuationSeparator" w:id="0">
    <w:p w:rsidR="00CD1730" w:rsidRDefault="00CD1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4785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4785B" w:rsidRDefault="0034785B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4785B" w:rsidRDefault="0034785B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4785B" w:rsidRDefault="0034785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4785B" w:rsidRDefault="0034785B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4785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4785B" w:rsidRDefault="0034785B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4785B" w:rsidRDefault="0034785B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4785B" w:rsidRDefault="0034785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4785B" w:rsidRDefault="0034785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85B"/>
    <w:rsid w:val="00077777"/>
    <w:rsid w:val="0034785B"/>
    <w:rsid w:val="00CD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777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77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77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7777"/>
  </w:style>
  <w:style w:type="paragraph" w:styleId="a7">
    <w:name w:val="footer"/>
    <w:basedOn w:val="a"/>
    <w:link w:val="a8"/>
    <w:uiPriority w:val="99"/>
    <w:unhideWhenUsed/>
    <w:rsid w:val="000777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77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777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77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77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7777"/>
  </w:style>
  <w:style w:type="paragraph" w:styleId="a7">
    <w:name w:val="footer"/>
    <w:basedOn w:val="a"/>
    <w:link w:val="a8"/>
    <w:uiPriority w:val="99"/>
    <w:unhideWhenUsed/>
    <w:rsid w:val="000777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7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73210&amp;date=15.06.2026&amp;dst=100016&amp;field=134" TargetMode="External"/><Relationship Id="rId21" Type="http://schemas.openxmlformats.org/officeDocument/2006/relationships/hyperlink" Target="https://login.consultant.ru/link/?req=doc&amp;base=LAW&amp;n=532112&amp;date=15.06.2026&amp;dst=283&amp;field=134" TargetMode="External"/><Relationship Id="rId42" Type="http://schemas.openxmlformats.org/officeDocument/2006/relationships/hyperlink" Target="https://login.consultant.ru/link/?req=doc&amp;base=LAW&amp;n=500206&amp;date=15.06.2026&amp;dst=265&amp;field=134" TargetMode="External"/><Relationship Id="rId47" Type="http://schemas.openxmlformats.org/officeDocument/2006/relationships/hyperlink" Target="https://login.consultant.ru/link/?req=doc&amp;base=LAW&amp;n=528366&amp;date=15.06.2026&amp;dst=100013&amp;field=134" TargetMode="External"/><Relationship Id="rId63" Type="http://schemas.openxmlformats.org/officeDocument/2006/relationships/hyperlink" Target="https://login.consultant.ru/link/?req=doc&amp;base=LAW&amp;n=504075&amp;date=15.06.2026&amp;dst=100057&amp;field=134" TargetMode="External"/><Relationship Id="rId68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418589&amp;date=15.06.2026&amp;dst=100006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4075&amp;date=15.06.2026&amp;dst=100006&amp;field=134" TargetMode="External"/><Relationship Id="rId29" Type="http://schemas.openxmlformats.org/officeDocument/2006/relationships/hyperlink" Target="https://login.consultant.ru/link/?req=doc&amp;base=LAW&amp;n=528366&amp;date=15.06.2026&amp;dst=100102&amp;field=134" TargetMode="External"/><Relationship Id="rId11" Type="http://schemas.openxmlformats.org/officeDocument/2006/relationships/hyperlink" Target="https://login.consultant.ru/link/?req=doc&amp;base=LAW&amp;n=500206&amp;date=15.06.2026&amp;dst=1&amp;field=134" TargetMode="External"/><Relationship Id="rId24" Type="http://schemas.openxmlformats.org/officeDocument/2006/relationships/hyperlink" Target="https://login.consultant.ru/link/?req=doc&amp;base=LAW&amp;n=473210&amp;date=15.06.2026&amp;dst=100014&amp;field=134" TargetMode="External"/><Relationship Id="rId32" Type="http://schemas.openxmlformats.org/officeDocument/2006/relationships/hyperlink" Target="https://login.consultant.ru/link/?req=doc&amp;base=LAW&amp;n=473210&amp;date=15.06.2026&amp;dst=100022&amp;field=134" TargetMode="External"/><Relationship Id="rId37" Type="http://schemas.openxmlformats.org/officeDocument/2006/relationships/hyperlink" Target="https://login.consultant.ru/link/?req=doc&amp;base=LAW&amp;n=500206&amp;date=15.06.2026&amp;dst=133&amp;field=134" TargetMode="External"/><Relationship Id="rId40" Type="http://schemas.openxmlformats.org/officeDocument/2006/relationships/hyperlink" Target="https://login.consultant.ru/link/?req=doc&amp;base=LAW&amp;n=500206&amp;date=15.06.2026&amp;dst=138&amp;field=134" TargetMode="External"/><Relationship Id="rId45" Type="http://schemas.openxmlformats.org/officeDocument/2006/relationships/hyperlink" Target="https://login.consultant.ru/link/?req=doc&amp;base=LAW&amp;n=511602&amp;date=15.06.2026" TargetMode="External"/><Relationship Id="rId53" Type="http://schemas.openxmlformats.org/officeDocument/2006/relationships/hyperlink" Target="https://login.consultant.ru/link/?req=doc&amp;base=LAW&amp;n=504075&amp;date=15.06.2026&amp;dst=100022&amp;field=134" TargetMode="External"/><Relationship Id="rId58" Type="http://schemas.openxmlformats.org/officeDocument/2006/relationships/hyperlink" Target="https://login.consultant.ru/link/?req=doc&amp;base=LAW&amp;n=500206&amp;date=15.06.2026&amp;dst=268&amp;field=134" TargetMode="External"/><Relationship Id="rId66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418589&amp;date=15.06.2026&amp;dst=100014&amp;field=134" TargetMode="External"/><Relationship Id="rId19" Type="http://schemas.openxmlformats.org/officeDocument/2006/relationships/hyperlink" Target="https://login.consultant.ru/link/?req=doc&amp;base=LAW&amp;n=473210&amp;date=15.06.2026&amp;dst=100011&amp;field=134" TargetMode="External"/><Relationship Id="rId14" Type="http://schemas.openxmlformats.org/officeDocument/2006/relationships/hyperlink" Target="https://login.consultant.ru/link/?req=doc&amp;base=LAW&amp;n=418589&amp;date=15.06.2026&amp;dst=100006&amp;field=134" TargetMode="External"/><Relationship Id="rId22" Type="http://schemas.openxmlformats.org/officeDocument/2006/relationships/hyperlink" Target="https://login.consultant.ru/link/?req=doc&amp;base=LAW&amp;n=473210&amp;date=15.06.2026&amp;dst=100012&amp;field=134" TargetMode="External"/><Relationship Id="rId27" Type="http://schemas.openxmlformats.org/officeDocument/2006/relationships/hyperlink" Target="https://login.consultant.ru/link/?req=doc&amp;base=LAW&amp;n=528366&amp;date=15.06.2026&amp;dst=100102&amp;field=134" TargetMode="External"/><Relationship Id="rId30" Type="http://schemas.openxmlformats.org/officeDocument/2006/relationships/hyperlink" Target="https://login.consultant.ru/link/?req=doc&amp;base=LAW&amp;n=473210&amp;date=15.06.2026&amp;dst=100020&amp;field=134" TargetMode="External"/><Relationship Id="rId35" Type="http://schemas.openxmlformats.org/officeDocument/2006/relationships/hyperlink" Target="https://login.consultant.ru/link/?req=doc&amp;base=LAW&amp;n=500206&amp;date=15.06.2026&amp;dst=267&amp;field=134" TargetMode="External"/><Relationship Id="rId43" Type="http://schemas.openxmlformats.org/officeDocument/2006/relationships/hyperlink" Target="https://login.consultant.ru/link/?req=doc&amp;base=LAW&amp;n=500206&amp;date=15.06.2026&amp;dst=267&amp;field=134" TargetMode="External"/><Relationship Id="rId48" Type="http://schemas.openxmlformats.org/officeDocument/2006/relationships/hyperlink" Target="https://login.consultant.ru/link/?req=doc&amp;base=LAW&amp;n=528366&amp;date=15.06.2026&amp;dst=100013&amp;field=134" TargetMode="External"/><Relationship Id="rId56" Type="http://schemas.openxmlformats.org/officeDocument/2006/relationships/hyperlink" Target="https://login.consultant.ru/link/?req=doc&amp;base=LAW&amp;n=372899&amp;date=15.06.2026&amp;dst=100169&amp;field=134" TargetMode="External"/><Relationship Id="rId64" Type="http://schemas.openxmlformats.org/officeDocument/2006/relationships/hyperlink" Target="https://login.consultant.ru/link/?req=doc&amp;base=LAW&amp;n=500206&amp;date=15.06.2026&amp;dst=269&amp;field=134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73210&amp;date=15.06.2026&amp;dst=100006&amp;field=134" TargetMode="External"/><Relationship Id="rId51" Type="http://schemas.openxmlformats.org/officeDocument/2006/relationships/hyperlink" Target="https://login.consultant.ru/link/?req=doc&amp;base=LAW&amp;n=500206&amp;date=15.06.2026&amp;dst=109&amp;fie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32110&amp;date=15.06.2026&amp;dst=100240&amp;field=134" TargetMode="External"/><Relationship Id="rId17" Type="http://schemas.openxmlformats.org/officeDocument/2006/relationships/hyperlink" Target="https://login.consultant.ru/link/?req=doc&amp;base=LAW&amp;n=500206&amp;date=15.06.2026&amp;dst=132&amp;field=134" TargetMode="External"/><Relationship Id="rId25" Type="http://schemas.openxmlformats.org/officeDocument/2006/relationships/hyperlink" Target="https://login.consultant.ru/link/?req=doc&amp;base=LAW&amp;n=500206&amp;date=15.06.2026&amp;dst=100318&amp;field=134" TargetMode="External"/><Relationship Id="rId33" Type="http://schemas.openxmlformats.org/officeDocument/2006/relationships/hyperlink" Target="https://login.consultant.ru/link/?req=doc&amp;base=LAW&amp;n=500206&amp;date=15.06.2026&amp;dst=282&amp;field=134" TargetMode="External"/><Relationship Id="rId38" Type="http://schemas.openxmlformats.org/officeDocument/2006/relationships/hyperlink" Target="https://login.consultant.ru/link/?req=doc&amp;base=LAW&amp;n=500206&amp;date=15.06.2026&amp;dst=134&amp;field=134" TargetMode="External"/><Relationship Id="rId46" Type="http://schemas.openxmlformats.org/officeDocument/2006/relationships/hyperlink" Target="https://login.consultant.ru/link/?req=doc&amp;base=LAW&amp;n=504075&amp;date=15.06.2026&amp;dst=100014&amp;field=134" TargetMode="External"/><Relationship Id="rId59" Type="http://schemas.openxmlformats.org/officeDocument/2006/relationships/hyperlink" Target="https://login.consultant.ru/link/?req=doc&amp;base=LAW&amp;n=418589&amp;date=15.06.2026&amp;dst=100013&amp;field=134" TargetMode="External"/><Relationship Id="rId67" Type="http://schemas.openxmlformats.org/officeDocument/2006/relationships/header" Target="header2.xml"/><Relationship Id="rId20" Type="http://schemas.openxmlformats.org/officeDocument/2006/relationships/hyperlink" Target="https://login.consultant.ru/link/?req=doc&amp;base=LAW&amp;n=500206&amp;date=15.06.2026&amp;dst=228&amp;field=134" TargetMode="External"/><Relationship Id="rId41" Type="http://schemas.openxmlformats.org/officeDocument/2006/relationships/hyperlink" Target="https://login.consultant.ru/link/?req=doc&amp;base=LAW&amp;n=504075&amp;date=15.06.2026&amp;dst=100011&amp;field=134" TargetMode="External"/><Relationship Id="rId54" Type="http://schemas.openxmlformats.org/officeDocument/2006/relationships/hyperlink" Target="https://login.consultant.ru/link/?req=doc&amp;base=LAW&amp;n=504075&amp;date=15.06.2026&amp;dst=100025&amp;field=134" TargetMode="External"/><Relationship Id="rId62" Type="http://schemas.openxmlformats.org/officeDocument/2006/relationships/hyperlink" Target="https://login.consultant.ru/link/?req=doc&amp;base=LAW&amp;n=418589&amp;date=15.06.2026&amp;dst=100018&amp;field=134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73210&amp;date=15.06.2026&amp;dst=100006&amp;field=134" TargetMode="External"/><Relationship Id="rId23" Type="http://schemas.openxmlformats.org/officeDocument/2006/relationships/hyperlink" Target="https://login.consultant.ru/link/?req=doc&amp;base=LAW&amp;n=528366&amp;date=15.06.2026&amp;dst=100013&amp;field=134" TargetMode="External"/><Relationship Id="rId28" Type="http://schemas.openxmlformats.org/officeDocument/2006/relationships/hyperlink" Target="https://login.consultant.ru/link/?req=doc&amp;base=LAW&amp;n=473210&amp;date=15.06.2026&amp;dst=100018&amp;field=134" TargetMode="External"/><Relationship Id="rId36" Type="http://schemas.openxmlformats.org/officeDocument/2006/relationships/hyperlink" Target="https://login.consultant.ru/link/?req=doc&amp;base=LAW&amp;n=500206&amp;date=15.06.2026&amp;dst=265&amp;field=134" TargetMode="External"/><Relationship Id="rId49" Type="http://schemas.openxmlformats.org/officeDocument/2006/relationships/hyperlink" Target="https://login.consultant.ru/link/?req=doc&amp;base=LAW&amp;n=500206&amp;date=15.06.2026&amp;dst=109&amp;field=134" TargetMode="External"/><Relationship Id="rId57" Type="http://schemas.openxmlformats.org/officeDocument/2006/relationships/hyperlink" Target="https://login.consultant.ru/link/?req=doc&amp;base=LAW&amp;n=504075&amp;date=15.06.2026&amp;dst=100044&amp;field=134" TargetMode="External"/><Relationship Id="rId10" Type="http://schemas.openxmlformats.org/officeDocument/2006/relationships/hyperlink" Target="https://login.consultant.ru/link/?req=doc&amp;base=LAW&amp;n=533140&amp;date=15.06.2026&amp;dst=100006&amp;field=134" TargetMode="External"/><Relationship Id="rId31" Type="http://schemas.openxmlformats.org/officeDocument/2006/relationships/hyperlink" Target="https://login.consultant.ru/link/?req=doc&amp;base=LAW&amp;n=528366&amp;date=15.06.2026&amp;dst=100102&amp;field=134" TargetMode="External"/><Relationship Id="rId44" Type="http://schemas.openxmlformats.org/officeDocument/2006/relationships/hyperlink" Target="https://login.consultant.ru/link/?req=doc&amp;base=LAW&amp;n=504075&amp;date=15.06.2026&amp;dst=100012&amp;field=134" TargetMode="External"/><Relationship Id="rId52" Type="http://schemas.openxmlformats.org/officeDocument/2006/relationships/hyperlink" Target="https://login.consultant.ru/link/?req=doc&amp;base=LAW&amp;n=504075&amp;date=15.06.2026&amp;dst=100015&amp;field=134" TargetMode="External"/><Relationship Id="rId60" Type="http://schemas.openxmlformats.org/officeDocument/2006/relationships/hyperlink" Target="https://login.consultant.ru/link/?req=doc&amp;base=LAW&amp;n=504075&amp;date=15.06.2026&amp;dst=100056&amp;field=134" TargetMode="Externa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4075&amp;date=15.06.2026&amp;dst=100006&amp;field=134" TargetMode="External"/><Relationship Id="rId13" Type="http://schemas.openxmlformats.org/officeDocument/2006/relationships/hyperlink" Target="https://login.consultant.ru/link/?req=doc&amp;base=LAW&amp;n=533140&amp;date=15.06.2026&amp;dst=100006&amp;field=134" TargetMode="External"/><Relationship Id="rId18" Type="http://schemas.openxmlformats.org/officeDocument/2006/relationships/hyperlink" Target="https://login.consultant.ru/link/?req=doc&amp;base=LAW&amp;n=495924&amp;date=15.06.2026&amp;dst=100148&amp;field=134" TargetMode="External"/><Relationship Id="rId39" Type="http://schemas.openxmlformats.org/officeDocument/2006/relationships/hyperlink" Target="https://login.consultant.ru/link/?req=doc&amp;base=LAW&amp;n=500206&amp;date=15.06.2026&amp;dst=137&amp;field=134" TargetMode="External"/><Relationship Id="rId34" Type="http://schemas.openxmlformats.org/officeDocument/2006/relationships/hyperlink" Target="https://login.consultant.ru/link/?req=doc&amp;base=LAW&amp;n=500206&amp;date=15.06.2026&amp;dst=277&amp;field=134" TargetMode="External"/><Relationship Id="rId50" Type="http://schemas.openxmlformats.org/officeDocument/2006/relationships/hyperlink" Target="https://login.consultant.ru/link/?req=doc&amp;base=LAW&amp;n=528366&amp;date=15.06.2026&amp;dst=100013&amp;field=134" TargetMode="External"/><Relationship Id="rId55" Type="http://schemas.openxmlformats.org/officeDocument/2006/relationships/hyperlink" Target="https://login.consultant.ru/link/?req=doc&amp;base=LAW&amp;n=504075&amp;date=15.06.2026&amp;dst=10003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7431</Words>
  <Characters>42361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Ростехнадзора от 20.10.2020 N 420
(ред. от 04.03.2026)
"Об утверждении федеральных норм и правил в области промышленной безопасности "Правила проведения экспертизы промышленной безопасности"
(Зарегистрировано в Минюсте России 11.12.2020 N 61391)</vt:lpstr>
    </vt:vector>
  </TitlesOfParts>
  <Company>КонсультантПлюс Версия 4025.00.50</Company>
  <LinksUpToDate>false</LinksUpToDate>
  <CharactersWithSpaces>49693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20.10.2020 N 420
(ред. от 04.03.2026)
"Об утверждении федеральных норм и правил в области промышленной безопасности "Правила проведения экспертизы промышленной безопасности"
(Зарегистрировано в Минюсте России 11.12.2020 N 61391)</dc:title>
  <dc:creator>Оксана Федотова</dc:creator>
  <cp:lastModifiedBy>Оксана Федотова</cp:lastModifiedBy>
  <cp:revision>2</cp:revision>
  <dcterms:created xsi:type="dcterms:W3CDTF">2026-06-14T23:11:00Z</dcterms:created>
  <dcterms:modified xsi:type="dcterms:W3CDTF">2026-06-14T23:11:00Z</dcterms:modified>
</cp:coreProperties>
</file>